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Bold" w:hAnsi="Calibri-Bold"/>
          <w:b/>
          <w:color w:val="00000A"/>
          <w:sz w:val="20"/>
        </w:rPr>
      </w:pPr>
      <w:r>
        <w:rPr>
          <w:rFonts w:ascii="Calibri-Bold" w:hAnsi="Calibri-Bold"/>
          <w:b/>
          <w:color w:val="00000A"/>
          <w:sz w:val="20"/>
        </w:rPr>
        <w:t>Dichiarazione sostitutiva protocollo di legalità</w:t>
      </w:r>
    </w:p>
    <w:p>
      <w:pPr>
        <w:pStyle w:val="Normal"/>
        <w:jc w:val="start"/>
        <w:rPr>
          <w:rFonts w:ascii="Calibri" w:hAnsi="Calibri"/>
          <w:color w:val="00000A"/>
          <w:sz w:val="16"/>
        </w:rPr>
      </w:pPr>
      <w:r>
        <w:rPr>
          <w:rFonts w:ascii="Calibri" w:hAnsi="Calibri"/>
          <w:color w:val="00000A"/>
          <w:sz w:val="16"/>
        </w:rPr>
        <w:t>Istruzioni per la compilazione:</w:t>
      </w:r>
    </w:p>
    <w:p>
      <w:pPr>
        <w:pStyle w:val="Normal"/>
        <w:jc w:val="start"/>
        <w:rPr>
          <w:rFonts w:ascii="Calibri" w:hAnsi="Calibri"/>
          <w:color w:val="00000A"/>
          <w:sz w:val="16"/>
        </w:rPr>
      </w:pPr>
      <w:r>
        <w:rPr>
          <w:rFonts w:ascii="Calibri" w:hAnsi="Calibri"/>
          <w:color w:val="00000A"/>
          <w:sz w:val="16"/>
        </w:rPr>
        <w:t>1. La dichiarazione va compilata correttamente in ogni sua parte, barrando, se necessario, le parti che non interessano.</w:t>
      </w:r>
    </w:p>
    <w:p>
      <w:pPr>
        <w:pStyle w:val="Normal"/>
        <w:jc w:val="start"/>
        <w:rPr>
          <w:rFonts w:ascii="Calibri" w:hAnsi="Calibri"/>
          <w:color w:val="00000A"/>
          <w:sz w:val="16"/>
        </w:rPr>
      </w:pPr>
      <w:r>
        <w:rPr>
          <w:rFonts w:ascii="Calibri" w:hAnsi="Calibri"/>
          <w:color w:val="00000A"/>
          <w:sz w:val="16"/>
        </w:rPr>
        <w:t>2. Apporre un timbro di congiunzione tra le pagine.</w:t>
      </w:r>
    </w:p>
    <w:p>
      <w:pPr>
        <w:pStyle w:val="Normal"/>
        <w:jc w:val="start"/>
        <w:rPr>
          <w:rFonts w:ascii="Calibri" w:hAnsi="Calibri"/>
          <w:color w:val="00000A"/>
          <w:sz w:val="16"/>
        </w:rPr>
      </w:pPr>
      <w:r>
        <w:rPr>
          <w:rFonts w:ascii="Calibri" w:hAnsi="Calibri"/>
          <w:color w:val="00000A"/>
          <w:sz w:val="16"/>
        </w:rPr>
        <w:t>3. Se lo spazio non è sufficiente per l'inserimento dei dati, inserire fogli aggiuntivi ed apporre un timbro di congiunzione.</w:t>
      </w:r>
    </w:p>
    <w:p>
      <w:pPr>
        <w:pStyle w:val="Normal"/>
        <w:jc w:val="start"/>
        <w:rPr>
          <w:rFonts w:ascii="Calibri" w:hAnsi="Calibri"/>
          <w:color w:val="00000A"/>
          <w:sz w:val="16"/>
        </w:rPr>
      </w:pPr>
      <w:r>
        <w:rPr>
          <w:rFonts w:ascii="Calibri" w:hAnsi="Calibri"/>
          <w:color w:val="00000A"/>
          <w:sz w:val="16"/>
        </w:rPr>
        <w:t>4. Leggere attentamente le ulteriori istruzioni, riportate in grassetto nel testo o contenute negli spazi “Avvertenza".</w:t>
      </w:r>
    </w:p>
    <w:p>
      <w:pPr>
        <w:pStyle w:val="Normal"/>
        <w:jc w:val="start"/>
        <w:rPr>
          <w:rFonts w:ascii="Calibri" w:hAnsi="Calibri"/>
          <w:color w:val="00000A"/>
          <w:sz w:val="16"/>
        </w:rPr>
      </w:pPr>
      <w:r>
        <w:rPr>
          <w:rFonts w:ascii="Calibri" w:hAnsi="Calibri"/>
          <w:color w:val="00000A"/>
          <w:sz w:val="16"/>
        </w:rPr>
        <w:t>Avvertenza:</w:t>
      </w:r>
    </w:p>
    <w:p>
      <w:pPr>
        <w:pStyle w:val="Normal"/>
        <w:jc w:val="both"/>
        <w:rPr>
          <w:rFonts w:ascii="Calibri-BoldItalic" w:hAnsi="Calibri-BoldItalic"/>
          <w:b/>
          <w:i/>
          <w:i/>
          <w:color w:val="00000A"/>
          <w:sz w:val="16"/>
        </w:rPr>
      </w:pPr>
      <w:r>
        <w:rPr>
          <w:rFonts w:ascii="Calibri-BoldItalic" w:hAnsi="Calibri-BoldItalic"/>
          <w:b/>
          <w:i/>
          <w:color w:val="00000A"/>
          <w:sz w:val="16"/>
        </w:rPr>
        <w:t>In caso di associazioni temporanee d’impresa, dovrà essere presentata, a pena di esclusione dalla gara, una dichiarazione conforme alla presente, per ciascuna impresa costituente l’associazione. In caso di consorzi la dichiarazione conforme alla presente dovrà essere prodotta, a pena di esclusione, dal Consorzio stesso e da ciascuna delle imprese consorziate per le quali il consorzio dichiara di partecipare.</w:t>
      </w:r>
    </w:p>
    <w:p>
      <w:pPr>
        <w:pStyle w:val="Normal"/>
        <w:jc w:val="both"/>
        <w:rPr/>
      </w:pPr>
      <w:r>
        <w:rPr>
          <w:rFonts w:ascii="Calibri-Bold" w:hAnsi="Calibri-Bold"/>
          <w:b/>
          <w:color w:val="00000A"/>
          <w:sz w:val="24"/>
        </w:rPr>
        <w:t>OGGETTO: dichiarazione sostitutiva allegata all'offerta per l’aggiudicazione della m</w:t>
      </w:r>
      <w:r>
        <w:rPr>
          <w:rFonts w:ascii="Calibri-Bold" w:hAnsi="Calibri-Bold"/>
          <w:b/>
          <w:color w:val="000000"/>
          <w:sz w:val="24"/>
        </w:rPr>
        <w:t>anutenzione</w:t>
      </w:r>
    </w:p>
    <w:p>
      <w:pPr>
        <w:pStyle w:val="Normal"/>
        <w:jc w:val="both"/>
        <w:rPr/>
      </w:pPr>
      <w:r>
        <w:rPr>
          <w:rFonts w:ascii="Calibri-Bold" w:hAnsi="Calibri-Bold"/>
          <w:b/>
          <w:color w:val="000000"/>
          <w:sz w:val="24"/>
        </w:rPr>
        <w:t xml:space="preserve">straordinaria per messa in sicurezza e risanamento statico- funzionale loculi presso " </w:t>
      </w:r>
      <w:r>
        <w:rPr>
          <w:rFonts w:ascii="Calibri-Bold" w:hAnsi="Calibri-Bold"/>
          <w:b/>
          <w:sz w:val="24"/>
        </w:rPr>
        <w:t xml:space="preserve">Manutenzione Straordinaria per messa in sicurezza e risanamento statico- funzionale loculi </w:t>
      </w:r>
      <w:r>
        <w:rPr>
          <w:rFonts w:ascii="Calibri-Bold" w:hAnsi="Calibri-Bold"/>
          <w:b/>
          <w:color w:val="000000"/>
          <w:sz w:val="24"/>
        </w:rPr>
        <w:t>presso " Cimitero Vecchio lato Dx e Sx" e " Cimitero Nuovo lato Dx e Sx"</w:t>
      </w:r>
    </w:p>
    <w:p>
      <w:pPr>
        <w:pStyle w:val="Normal"/>
        <w:jc w:val="start"/>
        <w:rPr>
          <w:rFonts w:ascii="Calibri-Bold" w:hAnsi="Calibri-Bold"/>
          <w:b/>
          <w:color w:val="000000"/>
          <w:sz w:val="24"/>
        </w:rPr>
      </w:pPr>
      <w:r>
        <w:rPr>
          <w:rFonts w:ascii="Calibri-Bold" w:hAnsi="Calibri-Bold"/>
          <w:b/>
          <w:color w:val="000000"/>
          <w:sz w:val="24"/>
        </w:rPr>
        <w:t xml:space="preserve">- CIG: </w:t>
      </w:r>
      <w:r>
        <w:rPr>
          <w:rFonts w:ascii="Calibri-Bold" w:hAnsi="Calibri-Bold"/>
          <w:b/>
          <w:color w:val="000000"/>
          <w:spacing w:val="-2"/>
          <w:sz w:val="24"/>
        </w:rPr>
        <w:t>B7CE54815D</w:t>
      </w:r>
    </w:p>
    <w:p>
      <w:pPr>
        <w:pStyle w:val="Normal"/>
        <w:jc w:val="both"/>
        <w:rPr>
          <w:rFonts w:ascii="Calibri" w:hAnsi="Calibri"/>
          <w:color w:val="00000A"/>
          <w:sz w:val="20"/>
        </w:rPr>
      </w:pPr>
      <w:r>
        <w:rPr>
          <w:rFonts w:ascii="Calibri" w:hAnsi="Calibri"/>
          <w:color w:val="00000A"/>
          <w:sz w:val="20"/>
        </w:rPr>
        <w:t>Il/La sottoscritto/a ____________________________________________________________________, nato/a a</w:t>
      </w:r>
    </w:p>
    <w:p>
      <w:pPr>
        <w:pStyle w:val="Normal"/>
        <w:jc w:val="both"/>
        <w:rPr>
          <w:rFonts w:ascii="Calibri" w:hAnsi="Calibri"/>
          <w:color w:val="00000A"/>
          <w:sz w:val="20"/>
        </w:rPr>
      </w:pPr>
      <w:r>
        <w:rPr>
          <w:rFonts w:ascii="Calibri" w:hAnsi="Calibri"/>
          <w:color w:val="00000A"/>
          <w:sz w:val="20"/>
        </w:rPr>
        <w:t>________________________ il _____________ e residente in ______________________________</w:t>
      </w:r>
    </w:p>
    <w:p>
      <w:pPr>
        <w:pStyle w:val="Normal"/>
        <w:jc w:val="both"/>
        <w:rPr>
          <w:rFonts w:ascii="Calibri" w:hAnsi="Calibri"/>
          <w:color w:val="00000A"/>
          <w:sz w:val="20"/>
        </w:rPr>
      </w:pPr>
      <w:r>
        <w:rPr>
          <w:rFonts w:ascii="Calibri" w:hAnsi="Calibri"/>
          <w:color w:val="00000A"/>
          <w:sz w:val="20"/>
        </w:rPr>
        <w:t>Via_____________________________________ nella qualità di __________________________________ dell’impresa</w:t>
      </w:r>
    </w:p>
    <w:p>
      <w:pPr>
        <w:pStyle w:val="Normal"/>
        <w:jc w:val="both"/>
        <w:rPr>
          <w:rFonts w:ascii="Calibri" w:hAnsi="Calibri"/>
          <w:color w:val="00000A"/>
          <w:sz w:val="20"/>
        </w:rPr>
      </w:pPr>
      <w:r>
        <w:rPr>
          <w:rFonts w:ascii="Calibri" w:hAnsi="Calibri"/>
          <w:color w:val="00000A"/>
          <w:sz w:val="20"/>
        </w:rPr>
        <w:t>______________________________________________, iscritta al n. __________________ del registro delle imprese</w:t>
      </w:r>
    </w:p>
    <w:p>
      <w:pPr>
        <w:pStyle w:val="Normal"/>
        <w:jc w:val="both"/>
        <w:rPr>
          <w:rFonts w:ascii="Calibri" w:hAnsi="Calibri"/>
          <w:color w:val="00000A"/>
          <w:sz w:val="20"/>
        </w:rPr>
      </w:pPr>
      <w:r>
        <w:rPr>
          <w:rFonts w:ascii="Calibri" w:hAnsi="Calibri"/>
          <w:color w:val="00000A"/>
          <w:sz w:val="20"/>
        </w:rPr>
        <w:t>tenuto presso la Camera di Commercio di _________________________________</w:t>
      </w:r>
    </w:p>
    <w:p>
      <w:pPr>
        <w:pStyle w:val="Normal"/>
        <w:jc w:val="center"/>
        <w:rPr>
          <w:rFonts w:ascii="Calibri" w:hAnsi="Calibri"/>
          <w:color w:val="00000A"/>
          <w:sz w:val="28"/>
        </w:rPr>
      </w:pPr>
      <w:r>
        <w:rPr>
          <w:rFonts w:ascii="Calibri" w:hAnsi="Calibri"/>
          <w:color w:val="00000A"/>
          <w:sz w:val="28"/>
        </w:rPr>
        <w:t>dichiara</w:t>
      </w:r>
    </w:p>
    <w:p>
      <w:pPr>
        <w:pStyle w:val="Normal"/>
        <w:jc w:val="both"/>
        <w:rPr/>
      </w:pPr>
      <w:r>
        <w:rPr>
          <w:rFonts w:ascii="Calibri" w:hAnsi="Calibri"/>
          <w:color w:val="00000A"/>
          <w:sz w:val="20"/>
        </w:rPr>
        <w:t>- di essere a conoscenza di tutte le norme pattizie di cui al Protocollo di Legalità, sottoscritto nell’anno 2007 dalla stazione appaltante con la Prefettura di Napoli (</w:t>
      </w:r>
      <w:r>
        <w:rPr>
          <w:rFonts w:ascii="Calibri-Italic" w:hAnsi="Calibri-Italic"/>
          <w:i/>
          <w:color w:val="00000A"/>
          <w:sz w:val="20"/>
        </w:rPr>
        <w:t>consultabili al sito http://www.utgnapoli.it e che qui si intendono integralmente riportate</w:t>
      </w:r>
      <w:r>
        <w:rPr>
          <w:rFonts w:ascii="Calibri" w:hAnsi="Calibri"/>
          <w:color w:val="00000A"/>
          <w:sz w:val="20"/>
        </w:rPr>
        <w:t>) e di accettarne incondizionatamente il contenuto e gli effetti;</w:t>
      </w:r>
    </w:p>
    <w:p>
      <w:pPr>
        <w:pStyle w:val="Normal"/>
        <w:jc w:val="both"/>
        <w:rPr>
          <w:rFonts w:ascii="Calibri" w:hAnsi="Calibri"/>
          <w:color w:val="00000A"/>
          <w:sz w:val="20"/>
        </w:rPr>
      </w:pPr>
      <w:r>
        <w:rPr>
          <w:rFonts w:ascii="Calibri" w:hAnsi="Calibri"/>
          <w:color w:val="00000A"/>
          <w:sz w:val="20"/>
        </w:rPr>
        <w:t>- di essere a conoscenza del divieto per la stazione appaltante di autorizzare subappalti a favore delle imprese partecipanti alla gara e non risultate aggiudicatarie, salvo le ipotesi di lavorazioni altamente specialistiche;</w:t>
      </w:r>
    </w:p>
    <w:p>
      <w:pPr>
        <w:pStyle w:val="Normal"/>
        <w:jc w:val="both"/>
        <w:rPr/>
      </w:pPr>
      <w:r>
        <w:rPr>
          <w:rFonts w:ascii="Calibri" w:hAnsi="Calibri"/>
          <w:color w:val="00000A"/>
          <w:sz w:val="20"/>
        </w:rPr>
        <w:t>- in particolare, di essere a conoscenza che l’ente si riserva la facoltà di non stipulare il contratto e di non autorizzare il subappalto o il subcontratto ovvero, se il contratto sia già stipulato o l’autorizzazione già concessa, di procedere alla risoluzione del vincolo contrattuale o alla revoca dell’autorizzazione al subappalto (clausola di gradimento), qualora vengano acquisiti elementi o indicazioni rilevanti ai fini delle valutazioni discrezionali ammesse dalla legge, così come previsto dall’art. 10, comma 9, del D.P.R. 252/98 (</w:t>
      </w:r>
      <w:r>
        <w:rPr>
          <w:rFonts w:ascii="Calibri-Italic" w:hAnsi="Calibri-Italic"/>
          <w:i/>
          <w:color w:val="00000A"/>
          <w:sz w:val="20"/>
        </w:rPr>
        <w:t>cd. informative atipiche di cui all'articolo 1-septies del decreto-legge 6</w:t>
      </w:r>
    </w:p>
    <w:p>
      <w:pPr>
        <w:pStyle w:val="Normal"/>
        <w:jc w:val="both"/>
        <w:rPr/>
      </w:pPr>
      <w:r>
        <w:rPr>
          <w:rFonts w:ascii="Calibri-Italic" w:hAnsi="Calibri-Italic"/>
          <w:i/>
          <w:color w:val="00000A"/>
          <w:sz w:val="20"/>
        </w:rPr>
        <w:t>settembre 1982, n. 629</w:t>
      </w:r>
      <w:r>
        <w:rPr>
          <w:rFonts w:ascii="Calibri" w:hAnsi="Calibri"/>
          <w:color w:val="00000A"/>
          <w:sz w:val="20"/>
        </w:rPr>
        <w:t>).</w:t>
      </w:r>
    </w:p>
    <w:p>
      <w:pPr>
        <w:pStyle w:val="Normal"/>
        <w:jc w:val="both"/>
        <w:rPr>
          <w:rFonts w:ascii="Calibri" w:hAnsi="Calibri"/>
          <w:color w:val="00000A"/>
          <w:sz w:val="28"/>
        </w:rPr>
      </w:pPr>
      <w:r>
        <w:rPr>
          <w:rFonts w:ascii="Calibri" w:hAnsi="Calibri"/>
          <w:color w:val="00000A"/>
          <w:sz w:val="28"/>
        </w:rPr>
        <w:t>A tal fine, si impegna:</w:t>
      </w:r>
    </w:p>
    <w:p>
      <w:pPr>
        <w:pStyle w:val="Normal"/>
        <w:jc w:val="both"/>
        <w:rPr>
          <w:rFonts w:ascii="Calibri" w:hAnsi="Calibri"/>
          <w:color w:val="00000A"/>
          <w:sz w:val="20"/>
        </w:rPr>
      </w:pPr>
      <w:r>
        <w:rPr>
          <w:rFonts w:ascii="Calibri" w:hAnsi="Calibri"/>
          <w:color w:val="00000A"/>
          <w:sz w:val="20"/>
        </w:rPr>
        <w:t>1) a denunciare immediatamente alle Forze di Polizia o all’Autorità Giudiziaria ogni illecita richiesta di denaro, prestazione o altra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w:t>
      </w:r>
    </w:p>
    <w:p>
      <w:pPr>
        <w:pStyle w:val="Normal"/>
        <w:jc w:val="both"/>
        <w:rPr>
          <w:rFonts w:ascii="Calibri" w:hAnsi="Calibri"/>
          <w:color w:val="00000A"/>
          <w:sz w:val="20"/>
        </w:rPr>
      </w:pPr>
      <w:r>
        <w:rPr>
          <w:rFonts w:ascii="Calibri" w:hAnsi="Calibri"/>
          <w:color w:val="00000A"/>
          <w:sz w:val="20"/>
        </w:rPr>
        <w:t>2) a segnalare alla Prefettura l’avvenuta formalizzazione della denuncia di cui al precedente punto 1) e ciò al fine di consentire, nell’immediato, da parte dell’Autorità di pubblica sicurezza, l’attivazione di ogni conseguente iniziativa.</w:t>
      </w:r>
    </w:p>
    <w:p>
      <w:pPr>
        <w:pStyle w:val="Normal"/>
        <w:jc w:val="both"/>
        <w:rPr>
          <w:rFonts w:ascii="Calibri" w:hAnsi="Calibri"/>
          <w:color w:val="00000A"/>
          <w:sz w:val="28"/>
        </w:rPr>
      </w:pPr>
      <w:r>
        <w:rPr>
          <w:rFonts w:ascii="Calibri" w:hAnsi="Calibri"/>
          <w:color w:val="00000A"/>
          <w:sz w:val="28"/>
        </w:rPr>
        <w:t>In caso di aggiudicazione, si obbliga:</w:t>
      </w:r>
    </w:p>
    <w:p>
      <w:pPr>
        <w:pStyle w:val="Normal"/>
        <w:jc w:val="both"/>
        <w:rPr>
          <w:rFonts w:ascii="Calibri" w:hAnsi="Calibri"/>
          <w:color w:val="00000A"/>
          <w:sz w:val="20"/>
        </w:rPr>
      </w:pPr>
      <w:r>
        <w:rPr>
          <w:rFonts w:ascii="Calibri" w:hAnsi="Calibri"/>
          <w:color w:val="00000A"/>
          <w:sz w:val="20"/>
        </w:rPr>
        <w:t>a) a comunicare i dati relativi alle società e alle imprese chiamate a realizzare, a qualunque titolo, l’intervento, anche con riferimento ai loro assetti societari ed a eventuali successive variazioni;</w:t>
      </w:r>
    </w:p>
    <w:p>
      <w:pPr>
        <w:pStyle w:val="Normal"/>
        <w:jc w:val="both"/>
        <w:rPr>
          <w:rFonts w:ascii="Calibri" w:hAnsi="Calibri"/>
          <w:color w:val="00000A"/>
          <w:sz w:val="20"/>
        </w:rPr>
      </w:pPr>
      <w:r>
        <w:rPr>
          <w:rFonts w:ascii="Calibri" w:hAnsi="Calibri"/>
          <w:color w:val="00000A"/>
          <w:sz w:val="20"/>
        </w:rPr>
        <w:t>b) alla osservanza rigorosa delle disposizioni in materia di collocamento, igiene e sicurezza sul lavoro anche con riguardo alla nomina del responsabile della sicurezza, di tutela dei lavoratori in materia contrattuale e sindacale, e ad accettare la clausola risolutiva espressa, che prevede la risoluzione immediata ed automatica del contratto, ovvero la revoca dell’autorizzazione al subappalto o subcontratto, in caso di grave e reiterato inadempimento delle citate disposizioni;</w:t>
      </w:r>
    </w:p>
    <w:p>
      <w:pPr>
        <w:pStyle w:val="Normal"/>
        <w:jc w:val="both"/>
        <w:rPr/>
      </w:pPr>
      <w:r>
        <w:rPr>
          <w:rFonts w:ascii="Calibri" w:hAnsi="Calibri"/>
          <w:color w:val="00000A"/>
          <w:sz w:val="20"/>
        </w:rPr>
        <w:t xml:space="preserve">c) ad accettare la clausola espressa che prevede la risoluzione immediata ed automatica del contratto, qualora dovessero essere comunicate dalla Prefettura, successivamente alla stipula del contratto o subcontratto, informazioni interdittive di cui all’art. 10 del DPR 252/98, ovvero la sussistenza di ipotesi di collegamento formale e/o sostanziale o di accordi con altre imprese partecipanti alle procedure concorsuali d’interesse, consapevole che qualora il contratto sia stato stipulato nelle more dell’acquisizione delle informazioni del prefetto, sarà applicata a proprio carico, anche una penale nella misura del 10% del valore del contratto ovvero, qualora lo stesso non sia determinato o determinabile, una penale pari al valore delle prestazioni al momento eseguite </w:t>
      </w:r>
      <w:r>
        <w:rPr>
          <w:rFonts w:ascii="Calibri-Italic" w:hAnsi="Calibri-Italic"/>
          <w:i/>
          <w:color w:val="00000A"/>
          <w:sz w:val="20"/>
        </w:rPr>
        <w:t>(le predette penali saranno applicate mediante automatica detrazione del relativo importo dalle somme dovute all’impresa in relazione alla prima erogazione utile);</w:t>
      </w:r>
    </w:p>
    <w:p>
      <w:pPr>
        <w:pStyle w:val="Normal"/>
        <w:jc w:val="both"/>
        <w:rPr/>
      </w:pPr>
      <w:r>
        <w:rPr>
          <w:rFonts w:ascii="Calibri" w:hAnsi="Calibri"/>
          <w:color w:val="00000A"/>
          <w:sz w:val="20"/>
        </w:rPr>
        <w:t xml:space="preserve">d) ad accendere, dopo la stipula del contratto, </w:t>
      </w:r>
      <w:r>
        <w:rPr>
          <w:rFonts w:ascii="Calibri" w:hAnsi="Calibri"/>
          <w:color w:val="000000"/>
          <w:sz w:val="20"/>
        </w:rPr>
        <w:t>uno o più conti contraddistinti dalla dicitura “protocollo di legalità con la</w:t>
      </w:r>
    </w:p>
    <w:p>
      <w:pPr>
        <w:pStyle w:val="Normal"/>
        <w:jc w:val="both"/>
        <w:rPr>
          <w:rFonts w:ascii="Calibri" w:hAnsi="Calibri"/>
          <w:color w:val="000000"/>
          <w:sz w:val="20"/>
        </w:rPr>
      </w:pPr>
      <w:r>
        <w:rPr>
          <w:rFonts w:ascii="Calibri" w:hAnsi="Calibri"/>
          <w:color w:val="000000"/>
          <w:sz w:val="20"/>
        </w:rPr>
        <w:t>Prefettura di Napoli” (“conto dedicato”) presso un intermediario bancario ed effettuare, attraverso tali conti ed esclusivamente mediante bonifico bancario, tutti gli incassi e i pagamenti superiori a tremila euro relativi ai contratti connessi con l’esecuzione dell’opera ovvero con la prestazione del servizio o della fornitura – ivi compresi il reperimento, effettuato in Italia e all’estero, delle necessarie risorse finanziarie ed il loro successivo rimborso, da effettuarsi anche per il tramite di terzi ai fini delle esigenze di finanziamento di cui all’art. 9, comma 12, del decreto legislativo n. 190/02 – con esclusione dei pagamenti a favore di dipendenti, enti previdenziali, assicurativi e istituzionali, consapevole che, in caso di inosservanza senza giustificato motivo, sarà applicata una penale nella misura del 10% dell’importo di ogni singola movimentazione finanziaria cui la violazione si riferisce, mediante detrazione automatica dell’importo dalla somme dovute in relazione alla prima erogazione utile;</w:t>
      </w:r>
    </w:p>
    <w:p>
      <w:pPr>
        <w:pStyle w:val="Normal"/>
        <w:jc w:val="both"/>
        <w:rPr/>
      </w:pPr>
      <w:r>
        <w:rPr>
          <w:rFonts w:ascii="Calibri" w:hAnsi="Calibri"/>
          <w:color w:val="00000A"/>
          <w:sz w:val="20"/>
        </w:rPr>
        <w:t xml:space="preserve">e) </w:t>
      </w:r>
      <w:r>
        <w:rPr>
          <w:rFonts w:ascii="Calibri" w:hAnsi="Calibri"/>
          <w:color w:val="000000"/>
          <w:sz w:val="20"/>
        </w:rPr>
        <w:t>ad avvalersi, per ogni movimentazione finanziaria (in entrata o in uscita), degli intermediari di cui al decreto-legge n.</w:t>
      </w:r>
    </w:p>
    <w:p>
      <w:pPr>
        <w:pStyle w:val="Normal"/>
        <w:jc w:val="both"/>
        <w:rPr/>
      </w:pPr>
      <w:r>
        <w:rPr>
          <w:rFonts w:ascii="Calibri" w:hAnsi="Calibri"/>
          <w:color w:val="000000"/>
          <w:sz w:val="20"/>
        </w:rPr>
        <w:t xml:space="preserve">143/1991, </w:t>
      </w:r>
      <w:r>
        <w:rPr>
          <w:rFonts w:ascii="Calibri" w:hAnsi="Calibri"/>
          <w:color w:val="00000A"/>
          <w:sz w:val="20"/>
        </w:rPr>
        <w:t>e ad accettare la clausola risolutiva espressa che prevede</w:t>
      </w:r>
      <w:r>
        <w:rPr>
          <w:rFonts w:ascii="Calibri" w:hAnsi="Calibri"/>
          <w:color w:val="000000"/>
          <w:sz w:val="20"/>
        </w:rPr>
        <w:t>, in caso di violazione di detto obbligo, la risoluzione immediata e automatica del vincolo contrattuale e l’applicazione di una penale a titolo di liquidazione dei danni – salvo comunque il maggior danno – nella misura del 10% del valore del contratto o, qualora lo stesso non sia determinato o determinabile, delle prestazioni al momento eseguite (</w:t>
      </w:r>
      <w:r>
        <w:rPr>
          <w:rFonts w:ascii="Calibri-Italic" w:hAnsi="Calibri-Italic"/>
          <w:i/>
          <w:color w:val="000000"/>
          <w:sz w:val="20"/>
        </w:rPr>
        <w:t>detta penale sarà applicata anche nel caso in cui tale violazione venga accertata dopo che il contratto sia stato eseguito integralmente, ma prima del collaudo dell’opera</w:t>
      </w:r>
      <w:r>
        <w:rPr>
          <w:rFonts w:ascii="Calibri" w:hAnsi="Calibri"/>
          <w:color w:val="000000"/>
          <w:sz w:val="20"/>
        </w:rPr>
        <w:t>);</w:t>
      </w:r>
    </w:p>
    <w:p>
      <w:pPr>
        <w:pStyle w:val="Normal"/>
        <w:jc w:val="both"/>
        <w:rPr/>
      </w:pPr>
      <w:r>
        <w:rPr>
          <w:rFonts w:ascii="Calibri" w:hAnsi="Calibri"/>
          <w:color w:val="00000A"/>
          <w:sz w:val="20"/>
        </w:rPr>
        <w:t xml:space="preserve">f) </w:t>
      </w:r>
      <w:r>
        <w:rPr>
          <w:rFonts w:ascii="Calibri" w:hAnsi="Calibri"/>
          <w:color w:val="000000"/>
          <w:sz w:val="20"/>
        </w:rPr>
        <w:t>a comunicare alla Camera di Commercio di Napoli, con modalità telematica e con sottoscrizione a firma digitale – non oltre il termine di 30 giorni dall’accensione dei “conti dedicati”, i dati relativi agli intermediari bancari presso cui sono stati accesi i conti, comprensivi degli elementi identificativi del rapporto (denominazione dell’istituto, numero del conto, Cin, ABI e CAB) e delle eventuali successive modifiche nonché delle generalità e del codice fiscale dei soggetti delegati ad operare su detti conti;</w:t>
      </w:r>
    </w:p>
    <w:p>
      <w:pPr>
        <w:pStyle w:val="Normal"/>
        <w:jc w:val="both"/>
        <w:rPr/>
      </w:pPr>
      <w:r>
        <w:rPr>
          <w:rFonts w:ascii="Calibri" w:hAnsi="Calibri"/>
          <w:color w:val="00000A"/>
          <w:sz w:val="20"/>
        </w:rPr>
        <w:t xml:space="preserve">g) </w:t>
      </w:r>
      <w:r>
        <w:rPr>
          <w:rFonts w:ascii="Calibri" w:hAnsi="Calibri"/>
          <w:color w:val="000000"/>
          <w:sz w:val="20"/>
        </w:rPr>
        <w:t>a incaricare l’intermediario bancario di trasmettere, mensilmente, per via telematica, alla banca dati della Camera di</w:t>
      </w:r>
    </w:p>
    <w:p>
      <w:pPr>
        <w:pStyle w:val="Normal"/>
        <w:jc w:val="both"/>
        <w:rPr>
          <w:rFonts w:ascii="Calibri" w:hAnsi="Calibri"/>
          <w:color w:val="000000"/>
          <w:sz w:val="20"/>
        </w:rPr>
      </w:pPr>
      <w:r>
        <w:rPr>
          <w:rFonts w:ascii="Calibri" w:hAnsi="Calibri"/>
          <w:color w:val="000000"/>
          <w:sz w:val="20"/>
        </w:rPr>
        <w:t>Commercio di Napoli, l’estratto conto relativo alle movimentazioni finanziarie connesse con la realizzazione dell’opera, delle quali dovrà essere specificata la causale, con indicazione, in caso di operazioni in accredito, del conto da cui proviene l’introito.</w:t>
      </w:r>
    </w:p>
    <w:p>
      <w:pPr>
        <w:pStyle w:val="Normal"/>
        <w:jc w:val="start"/>
        <w:rPr>
          <w:rFonts w:ascii="Calibri" w:hAnsi="Calibri"/>
          <w:color w:val="00000A"/>
          <w:sz w:val="20"/>
        </w:rPr>
      </w:pPr>
      <w:r>
        <w:rPr>
          <w:rFonts w:ascii="Calibri" w:hAnsi="Calibri"/>
          <w:color w:val="00000A"/>
          <w:sz w:val="20"/>
        </w:rPr>
        <w:t>Luogo e data</w:t>
      </w:r>
    </w:p>
    <w:p>
      <w:pPr>
        <w:pStyle w:val="Normal"/>
        <w:jc w:val="start"/>
        <w:rPr>
          <w:rFonts w:ascii="Calibri" w:hAnsi="Calibri"/>
          <w:color w:val="00000A"/>
          <w:sz w:val="20"/>
        </w:rPr>
      </w:pPr>
      <w:r>
        <w:rPr>
          <w:rFonts w:ascii="Calibri" w:hAnsi="Calibri"/>
          <w:color w:val="00000A"/>
          <w:sz w:val="20"/>
        </w:rPr>
        <w:t>________________________________</w:t>
      </w:r>
    </w:p>
    <w:p>
      <w:pPr>
        <w:pStyle w:val="Normal"/>
        <w:jc w:val="end"/>
        <w:rPr>
          <w:rFonts w:ascii="Calibri" w:hAnsi="Calibri"/>
          <w:color w:val="00000A"/>
          <w:sz w:val="20"/>
        </w:rPr>
      </w:pPr>
      <w:r>
        <w:rPr>
          <w:rFonts w:ascii="Calibri" w:hAnsi="Calibri"/>
          <w:color w:val="00000A"/>
          <w:sz w:val="20"/>
        </w:rPr>
        <w:t>firma digitale</w:t>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Bold">
    <w:charset w:val="00" w:characterSet="windows-1252"/>
    <w:family w:val="roman"/>
    <w:pitch w:val="variable"/>
  </w:font>
  <w:font w:name="Calibri">
    <w:charset w:val="00" w:characterSet="windows-1252"/>
    <w:family w:val="roman"/>
    <w:pitch w:val="variable"/>
  </w:font>
  <w:font w:name="Calibri-BoldItalic">
    <w:charset w:val="00" w:characterSet="windows-1252"/>
    <w:family w:val="roman"/>
    <w:pitch w:val="variable"/>
  </w:font>
  <w:font w:name="Calibri-Italic">
    <w:charset w:val="00" w:characterSet="windows-1252"/>
    <w:family w:val="roman"/>
    <w:pitch w:val="variable"/>
  </w:font>
</w:fonts>
</file>

<file path=word/settings.xml><?xml version="1.0" encoding="utf-8"?>
<w:settings xmlns:w="http://schemas.openxmlformats.org/wordprocessingml/2006/main">
  <w:zoom w:percent="18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it-IT" w:eastAsia="zh-CN" w:bidi="hi-IN"/>
    </w:rPr>
  </w:style>
  <w:style w:type="character" w:styleId="DefaultParagraphFont">
    <w:name w:val="Default Paragraph Font"/>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ableParagraph">
    <w:name w:val="Table Paragraph"/>
    <w:basedOn w:val="Normal"/>
    <w:qFormat/>
    <w:pPr/>
    <w:rPr/>
  </w:style>
  <w:style w:type="paragraph" w:styleId="ListParagraph">
    <w:name w:val="List Paragraph"/>
    <w:basedOn w:val="Normal"/>
    <w:qFormat/>
    <w:pPr>
      <w:spacing w:before="1" w:after="0"/>
      <w:ind w:hanging="823" w:start="314" w:end="85"/>
    </w:pPr>
    <w:rPr>
      <w:rFonts w:ascii="Times New Roman" w:hAnsi="Times New Roman" w:eastAsia="Times New Roman" w:cs="Times New Roman"/>
    </w:rPr>
  </w:style>
  <w:style w:type="paragraph" w:styleId="caption1">
    <w:name w:val="caption1"/>
    <w:basedOn w:val="Normal"/>
    <w:qFormat/>
    <w:pPr>
      <w:spacing w:before="120" w:after="120"/>
    </w:pPr>
    <w:rPr>
      <w:i/>
      <w:i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LibreOffice/25.2.4.3$Windows_X86_64 LibreOffice_project/33e196637044ead23f5c3226cde09b47731f7e27</Application>
  <AppVersion>15.0000</AppVersion>
  <Pages>2</Pages>
  <Words>1129</Words>
  <Characters>7083</Characters>
  <CharactersWithSpaces>8179</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2025-07-29T11:10:05Z</dcterms:modified>
  <cp:revision>4</cp:revision>
  <dc:subject/>
  <dc:title/>
</cp:coreProperties>
</file>